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EA" w:rsidRPr="00BD1BEA" w:rsidRDefault="00BD1BEA" w:rsidP="00BD1BEA">
      <w:pPr>
        <w:spacing w:line="240" w:lineRule="auto"/>
        <w:jc w:val="center"/>
        <w:rPr>
          <w:rFonts w:ascii="Times New Roman" w:eastAsia="Times New Roman" w:hAnsi="Times New Roman" w:cs="Times New Roman"/>
          <w:sz w:val="24"/>
          <w:szCs w:val="24"/>
        </w:rPr>
      </w:pPr>
      <w:r w:rsidRPr="00BD1BEA">
        <w:rPr>
          <w:rFonts w:ascii="Calibri" w:eastAsia="Times New Roman" w:hAnsi="Calibri" w:cs="Times New Roman"/>
          <w:b/>
          <w:bCs/>
          <w:color w:val="000000"/>
        </w:rPr>
        <w:t>Reg. 216 Primer</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Background</w:t>
      </w:r>
    </w:p>
    <w:p w:rsidR="00BD1BEA" w:rsidRPr="00BD1BEA" w:rsidRDefault="00BD1BEA" w:rsidP="00BD1BEA">
      <w:pPr>
        <w:numPr>
          <w:ilvl w:val="0"/>
          <w:numId w:val="1"/>
        </w:numPr>
        <w:spacing w:after="0" w:line="240" w:lineRule="auto"/>
        <w:textAlignment w:val="baseline"/>
        <w:rPr>
          <w:rFonts w:ascii="Arial" w:eastAsia="Times New Roman" w:hAnsi="Arial" w:cs="Arial"/>
          <w:color w:val="000000"/>
          <w:u w:val="single"/>
        </w:rPr>
      </w:pPr>
      <w:r w:rsidRPr="00BD1BEA">
        <w:rPr>
          <w:rFonts w:ascii="Calibri" w:eastAsia="Times New Roman" w:hAnsi="Calibri" w:cs="Arial"/>
          <w:i/>
          <w:iCs/>
          <w:color w:val="000000"/>
        </w:rPr>
        <w:t>NEPA – The National Environmental Policy Act.</w:t>
      </w:r>
      <w:r w:rsidRPr="00BD1BEA">
        <w:rPr>
          <w:rFonts w:ascii="Calibri" w:eastAsia="Times New Roman" w:hAnsi="Calibri" w:cs="Arial"/>
          <w:color w:val="000000"/>
        </w:rPr>
        <w:t xml:space="preserve">  </w:t>
      </w:r>
      <w:hyperlink r:id="rId6" w:history="1">
        <w:r w:rsidRPr="00BD1BEA">
          <w:rPr>
            <w:rFonts w:ascii="Calibri" w:eastAsia="Times New Roman" w:hAnsi="Calibri" w:cs="Arial"/>
            <w:color w:val="0000FF"/>
            <w:u w:val="single"/>
          </w:rPr>
          <w:t>https://ceq.doe.gov/nepa/Citizens_Guide_Dec07.pdf</w:t>
        </w:r>
      </w:hyperlink>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This act was signed into law on January 1, 1970.  The intent of the law is three fold:</w:t>
      </w:r>
    </w:p>
    <w:p w:rsidR="00BD1BEA" w:rsidRPr="00BD1BEA" w:rsidRDefault="00BD1BEA" w:rsidP="00BD1BEA">
      <w:pPr>
        <w:numPr>
          <w:ilvl w:val="0"/>
          <w:numId w:val="2"/>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To ensure that actions taken by the federal government are in harmony with the environment,</w:t>
      </w:r>
    </w:p>
    <w:p w:rsidR="00BD1BEA" w:rsidRPr="00BD1BEA" w:rsidRDefault="00BD1BEA" w:rsidP="00BD1BEA">
      <w:pPr>
        <w:numPr>
          <w:ilvl w:val="0"/>
          <w:numId w:val="2"/>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To ensure that stakeholders affected by the project are given adequate opportunity to participate in the planning process; and</w:t>
      </w:r>
    </w:p>
    <w:p w:rsidR="00BD1BEA" w:rsidRPr="00BD1BEA" w:rsidRDefault="00BD1BEA" w:rsidP="00BD1BEA">
      <w:pPr>
        <w:numPr>
          <w:ilvl w:val="0"/>
          <w:numId w:val="2"/>
        </w:numPr>
        <w:spacing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To give decision-makers sufficient information with regards various alternatives so as to make an informed decision.</w:t>
      </w:r>
    </w:p>
    <w:p w:rsidR="00BD1BEA" w:rsidRPr="00BD1BEA" w:rsidRDefault="00BD1BEA" w:rsidP="00BD1BEA">
      <w:pPr>
        <w:spacing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 xml:space="preserve">This act applies to ALL US Government Agencies, whether they work abroad or domestically, including USAID. </w:t>
      </w:r>
    </w:p>
    <w:p w:rsidR="00BD1BEA" w:rsidRPr="00BD1BEA" w:rsidRDefault="00BD1BEA" w:rsidP="00BD1BEA">
      <w:pPr>
        <w:numPr>
          <w:ilvl w:val="0"/>
          <w:numId w:val="3"/>
        </w:numPr>
        <w:spacing w:after="0" w:line="240" w:lineRule="auto"/>
        <w:textAlignment w:val="baseline"/>
        <w:rPr>
          <w:rFonts w:ascii="Arial" w:eastAsia="Times New Roman" w:hAnsi="Arial" w:cs="Arial"/>
          <w:color w:val="000000"/>
        </w:rPr>
      </w:pPr>
      <w:r w:rsidRPr="00BD1BEA">
        <w:rPr>
          <w:rFonts w:ascii="Calibri" w:eastAsia="Times New Roman" w:hAnsi="Calibri" w:cs="Arial"/>
          <w:i/>
          <w:iCs/>
          <w:color w:val="000000"/>
        </w:rPr>
        <w:t>22 CFR 216 – Regulation 216.</w:t>
      </w:r>
      <w:r w:rsidRPr="00BD1BEA">
        <w:rPr>
          <w:rFonts w:ascii="Calibri" w:eastAsia="Times New Roman" w:hAnsi="Calibri" w:cs="Arial"/>
          <w:color w:val="000000"/>
        </w:rPr>
        <w:t xml:space="preserve"> </w:t>
      </w:r>
      <w:hyperlink r:id="rId7" w:history="1">
        <w:r w:rsidRPr="00BD1BEA">
          <w:rPr>
            <w:rFonts w:ascii="Calibri" w:eastAsia="Times New Roman" w:hAnsi="Calibri" w:cs="Arial"/>
            <w:i/>
            <w:iCs/>
            <w:color w:val="0000FF"/>
            <w:u w:val="single"/>
          </w:rPr>
          <w:t>http://www.ecfr.gov/cgi-bin/text-idx?c=ecfr&amp;tpl=/ecfrbrowse/Title22/22cfr216_main_02.tpl</w:t>
        </w:r>
      </w:hyperlink>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i/>
          <w:iCs/>
          <w:color w:val="000000"/>
        </w:rPr>
        <w:t xml:space="preserve">Or </w:t>
      </w:r>
      <w:hyperlink r:id="rId8" w:history="1">
        <w:r w:rsidRPr="00BD1BEA">
          <w:rPr>
            <w:rFonts w:ascii="Calibri" w:eastAsia="Times New Roman" w:hAnsi="Calibri" w:cs="Times New Roman"/>
            <w:i/>
            <w:iCs/>
            <w:color w:val="0000FF"/>
            <w:u w:val="single"/>
          </w:rPr>
          <w:t>http://www.usaid.gov/our_work/environment/compliance/22cfr216</w:t>
        </w:r>
      </w:hyperlink>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OK – Here is today’s civics lesson.  Once a law is passed by Congress and signed by the President, it must be “</w:t>
      </w:r>
      <w:r w:rsidR="00F87EAF" w:rsidRPr="00BD1BEA">
        <w:rPr>
          <w:rFonts w:ascii="Calibri" w:eastAsia="Times New Roman" w:hAnsi="Calibri" w:cs="Times New Roman"/>
          <w:color w:val="000000"/>
        </w:rPr>
        <w:t>codified</w:t>
      </w:r>
      <w:r w:rsidRPr="00BD1BEA">
        <w:rPr>
          <w:rFonts w:ascii="Calibri" w:eastAsia="Times New Roman" w:hAnsi="Calibri" w:cs="Times New Roman"/>
          <w:color w:val="000000"/>
        </w:rPr>
        <w:t>”; that is to say, put into a form that directs executive branch agencies to act.  This is called the United States Code, or the Code of Federal Regulations (CFR).  Title 22 is where all regulations regarding Foreign Relations are placed.  Chapter II, part 216 is the section regarding USAID’s Environmental Procedures.  Thus 22 CFR 216 is where NEPA is codified as it pertains to USAID.  </w:t>
      </w: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numPr>
          <w:ilvl w:val="0"/>
          <w:numId w:val="4"/>
        </w:numPr>
        <w:spacing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 xml:space="preserve">Automated Directive System (ADS) 204 </w:t>
      </w:r>
      <w:hyperlink r:id="rId9" w:history="1">
        <w:r w:rsidRPr="00BD1BEA">
          <w:rPr>
            <w:rFonts w:ascii="Calibri" w:eastAsia="Times New Roman" w:hAnsi="Calibri" w:cs="Arial"/>
            <w:i/>
            <w:iCs/>
            <w:color w:val="0000FF"/>
            <w:u w:val="single"/>
          </w:rPr>
          <w:t>http://www.usaid.gov/sites/default/files/documents/1865/204.pdf</w:t>
        </w:r>
      </w:hyperlink>
    </w:p>
    <w:p w:rsidR="00BD1BEA" w:rsidRPr="00BD1BEA" w:rsidRDefault="00BD1BEA" w:rsidP="00BD1BEA">
      <w:pPr>
        <w:spacing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ADS is where all that is contained in the CFR’s is translated into pragmatic guidance regarding the latest agency policy.  </w:t>
      </w:r>
      <w:proofErr w:type="gramStart"/>
      <w:r w:rsidRPr="00BD1BEA">
        <w:rPr>
          <w:rFonts w:ascii="Calibri" w:eastAsia="Times New Roman" w:hAnsi="Calibri" w:cs="Times New Roman"/>
          <w:color w:val="000000"/>
        </w:rPr>
        <w:t>ADS 204 is</w:t>
      </w:r>
      <w:proofErr w:type="gramEnd"/>
      <w:r w:rsidRPr="00BD1BEA">
        <w:rPr>
          <w:rFonts w:ascii="Calibri" w:eastAsia="Times New Roman" w:hAnsi="Calibri" w:cs="Times New Roman"/>
          <w:color w:val="000000"/>
        </w:rPr>
        <w:t xml:space="preserve"> where USAID’s policy on environmental compliance is located. It provides general overall guidance.</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So why do I need this booklet?</w:t>
      </w:r>
      <w:r w:rsidRPr="00BD1BEA">
        <w:rPr>
          <w:rFonts w:ascii="Calibri" w:eastAsia="Times New Roman" w:hAnsi="Calibri" w:cs="Times New Roman"/>
          <w:color w:val="000000"/>
        </w:rPr>
        <w:t xml:space="preserve"> </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rPr>
        <w:t xml:space="preserve">Although ADS 204 provides general guidance, there are many actions and procedures that are not clearly spelled out.  This booklet is intended to help the reader find practical answers </w:t>
      </w:r>
      <w:proofErr w:type="gramStart"/>
      <w:r w:rsidRPr="00BD1BEA">
        <w:rPr>
          <w:rFonts w:ascii="Calibri" w:eastAsia="Times New Roman" w:hAnsi="Calibri" w:cs="Times New Roman"/>
          <w:color w:val="000000"/>
        </w:rPr>
        <w:t>t</w:t>
      </w:r>
      <w:bookmarkStart w:id="0" w:name="_GoBack"/>
      <w:bookmarkEnd w:id="0"/>
      <w:r w:rsidRPr="00BD1BEA">
        <w:rPr>
          <w:rFonts w:ascii="Calibri" w:eastAsia="Times New Roman" w:hAnsi="Calibri" w:cs="Times New Roman"/>
          <w:color w:val="000000"/>
        </w:rPr>
        <w:t>o</w:t>
      </w:r>
      <w:proofErr w:type="gramEnd"/>
      <w:r w:rsidRPr="00BD1BEA">
        <w:rPr>
          <w:rFonts w:ascii="Calibri" w:eastAsia="Times New Roman" w:hAnsi="Calibri" w:cs="Times New Roman"/>
          <w:color w:val="000000"/>
        </w:rPr>
        <w:t xml:space="preserve"> many commonly asked questions. It is broken down chronologically as if you were going through the process from planning through procurement. Shall we begin?</w:t>
      </w:r>
    </w:p>
    <w:p w:rsidR="00BD1BEA" w:rsidRPr="00BD1BEA" w:rsidRDefault="00BD1BEA" w:rsidP="00BD1BEA">
      <w:pPr>
        <w:spacing w:after="240" w:line="240" w:lineRule="auto"/>
        <w:rPr>
          <w:rFonts w:ascii="Times New Roman" w:eastAsia="Times New Roman" w:hAnsi="Times New Roman" w:cs="Times New Roman"/>
          <w:sz w:val="24"/>
          <w:szCs w:val="24"/>
        </w:rPr>
      </w:pP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I. The Initial Environmental Examination (IEE)</w:t>
      </w:r>
      <w:r w:rsidRPr="00BD1BEA">
        <w:rPr>
          <w:rFonts w:ascii="Calibri" w:eastAsia="Times New Roman" w:hAnsi="Calibri" w:cs="Times New Roman"/>
          <w:i/>
          <w:iCs/>
          <w:color w:val="000000"/>
        </w:rPr>
        <w:t xml:space="preserve"> </w:t>
      </w:r>
      <w:r w:rsidRPr="00BD1BEA">
        <w:rPr>
          <w:rFonts w:ascii="Calibri" w:eastAsia="Times New Roman" w:hAnsi="Calibri" w:cs="Times New Roman"/>
          <w:color w:val="FF0000"/>
        </w:rPr>
        <w:t>(see LAC annotated guidance)</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rPr>
        <w:t xml:space="preserve">The IEE is the fundamental environmental compliance document for USAID. It makes recommendations from the operating unit to the Bureau Environmental Officer (BEO) regarding the potential environmental effects of specific USAID actions being contemplated. The approved IEE (whose actual title is an </w:t>
      </w:r>
      <w:r w:rsidRPr="00BD1BEA">
        <w:rPr>
          <w:rFonts w:ascii="Calibri" w:eastAsia="Times New Roman" w:hAnsi="Calibri" w:cs="Times New Roman"/>
          <w:i/>
          <w:iCs/>
          <w:color w:val="000000"/>
        </w:rPr>
        <w:t>Environmental Threshold Decision</w:t>
      </w:r>
      <w:r w:rsidRPr="00BD1BEA">
        <w:rPr>
          <w:rFonts w:ascii="Calibri" w:eastAsia="Times New Roman" w:hAnsi="Calibri" w:cs="Times New Roman"/>
          <w:color w:val="000000"/>
        </w:rPr>
        <w:t xml:space="preserve">; see below in Section II) is required for </w:t>
      </w:r>
      <w:r w:rsidRPr="00BD1BEA">
        <w:rPr>
          <w:rFonts w:ascii="Calibri" w:eastAsia="Times New Roman" w:hAnsi="Calibri" w:cs="Times New Roman"/>
          <w:b/>
          <w:bCs/>
          <w:color w:val="000000"/>
        </w:rPr>
        <w:t xml:space="preserve">ALL </w:t>
      </w:r>
      <w:r w:rsidRPr="00BD1BEA">
        <w:rPr>
          <w:rFonts w:ascii="Calibri" w:eastAsia="Times New Roman" w:hAnsi="Calibri" w:cs="Times New Roman"/>
          <w:color w:val="000000"/>
        </w:rPr>
        <w:t xml:space="preserve">USAID activities </w:t>
      </w:r>
      <w:r w:rsidRPr="00BD1BEA">
        <w:rPr>
          <w:rFonts w:ascii="Calibri" w:eastAsia="Times New Roman" w:hAnsi="Calibri" w:cs="Times New Roman"/>
          <w:color w:val="000000"/>
        </w:rPr>
        <w:lastRenderedPageBreak/>
        <w:t xml:space="preserve">and funds cannot be obligated until the </w:t>
      </w:r>
      <w:r w:rsidR="00CE07F1">
        <w:rPr>
          <w:rFonts w:ascii="Calibri" w:eastAsia="Times New Roman" w:hAnsi="Calibri" w:cs="Times New Roman"/>
          <w:color w:val="000000"/>
        </w:rPr>
        <w:t xml:space="preserve">IEE is approved by the BEO </w:t>
      </w:r>
      <w:r w:rsidRPr="00BD1BEA">
        <w:rPr>
          <w:rFonts w:ascii="Calibri" w:eastAsia="Times New Roman" w:hAnsi="Calibri" w:cs="Times New Roman"/>
          <w:color w:val="000000"/>
        </w:rPr>
        <w:t>for the Lat</w:t>
      </w:r>
      <w:r w:rsidR="00CE07F1">
        <w:rPr>
          <w:rFonts w:ascii="Calibri" w:eastAsia="Times New Roman" w:hAnsi="Calibri" w:cs="Times New Roman"/>
          <w:color w:val="000000"/>
        </w:rPr>
        <w:t>in and Caribbean (LAC) Bureau.</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rPr>
        <w:t>The IEE development procedure is as follows:</w:t>
      </w:r>
    </w:p>
    <w:p w:rsidR="00BD1BEA" w:rsidRPr="00BD1BEA" w:rsidRDefault="00BD1BEA" w:rsidP="00BD1BEA">
      <w:pPr>
        <w:numPr>
          <w:ilvl w:val="0"/>
          <w:numId w:val="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An IEE is drafted by a technical team, normally concurrent with the development of a Project Appraisal Document (PAD) </w:t>
      </w:r>
      <w:hyperlink r:id="rId10" w:history="1">
        <w:r w:rsidRPr="00BD1BEA">
          <w:rPr>
            <w:rFonts w:ascii="Calibri" w:eastAsia="Times New Roman" w:hAnsi="Calibri" w:cs="Times New Roman"/>
            <w:color w:val="0000FF"/>
            <w:u w:val="single"/>
          </w:rPr>
          <w:t>http://pdf.usaid.gov/pdf_docs/Pdacs686.pdf</w:t>
        </w:r>
      </w:hyperlink>
    </w:p>
    <w:p w:rsidR="00BD1BEA" w:rsidRPr="00BD1BEA" w:rsidRDefault="00BD1BEA" w:rsidP="00BD1BEA">
      <w:pPr>
        <w:numPr>
          <w:ilvl w:val="0"/>
          <w:numId w:val="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Once a draft IEE is written, it is submitted to the technical Office Director for concurrence and then to the Mission Environmental Officer (M</w:t>
      </w:r>
      <w:r w:rsidR="00CE07F1">
        <w:rPr>
          <w:rFonts w:ascii="Calibri" w:eastAsia="Times New Roman" w:hAnsi="Calibri" w:cs="Times New Roman"/>
          <w:color w:val="000000"/>
        </w:rPr>
        <w:t xml:space="preserve">EO) for review and concurrence </w:t>
      </w:r>
      <w:r w:rsidRPr="00BD1BEA">
        <w:rPr>
          <w:rFonts w:ascii="Calibri" w:eastAsia="Times New Roman" w:hAnsi="Calibri" w:cs="Times New Roman"/>
          <w:color w:val="000000"/>
        </w:rPr>
        <w:t>(</w:t>
      </w:r>
      <w:r w:rsidRPr="00BD1BEA">
        <w:rPr>
          <w:rFonts w:ascii="Calibri" w:eastAsia="Times New Roman" w:hAnsi="Calibri" w:cs="Times New Roman"/>
          <w:color w:val="FF0000"/>
        </w:rPr>
        <w:t>Please see your Mission Order regarding environmental compliance for mission-specific guidance.)</w:t>
      </w:r>
    </w:p>
    <w:p w:rsidR="00BD1BEA" w:rsidRPr="00BD1BEA" w:rsidRDefault="00BD1BEA" w:rsidP="00BD1BEA">
      <w:pPr>
        <w:numPr>
          <w:ilvl w:val="0"/>
          <w:numId w:val="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Once approved by the MEO, the MEO </w:t>
      </w:r>
      <w:proofErr w:type="gramStart"/>
      <w:r w:rsidRPr="00BD1BEA">
        <w:rPr>
          <w:rFonts w:ascii="Calibri" w:eastAsia="Times New Roman" w:hAnsi="Calibri" w:cs="Times New Roman"/>
          <w:color w:val="000000"/>
        </w:rPr>
        <w:t>forwards</w:t>
      </w:r>
      <w:proofErr w:type="gramEnd"/>
      <w:r w:rsidRPr="00BD1BEA">
        <w:rPr>
          <w:rFonts w:ascii="Calibri" w:eastAsia="Times New Roman" w:hAnsi="Calibri" w:cs="Times New Roman"/>
          <w:color w:val="000000"/>
        </w:rPr>
        <w:t xml:space="preserve"> the document to the Regional Environmental Advisor (REA) (Lima, San Salvador, or Santo Domingo) for concurrence.</w:t>
      </w:r>
    </w:p>
    <w:p w:rsidR="00BD1BEA" w:rsidRPr="00BD1BEA" w:rsidRDefault="00BD1BEA" w:rsidP="00BD1BEA">
      <w:pPr>
        <w:numPr>
          <w:ilvl w:val="0"/>
          <w:numId w:val="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With MEO and REA concurrence, the document goes to the Mission Director for approval and submission to the BEO.  This submission to the BEO is normally done electronically by the MEO.</w:t>
      </w:r>
    </w:p>
    <w:p w:rsidR="00BD1BEA" w:rsidRPr="00BD1BEA" w:rsidRDefault="00BD1BEA" w:rsidP="00BD1BEA">
      <w:pPr>
        <w:numPr>
          <w:ilvl w:val="0"/>
          <w:numId w:val="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IEEs are amended when:</w:t>
      </w:r>
    </w:p>
    <w:p w:rsidR="00BD1BEA" w:rsidRPr="00BD1BEA" w:rsidRDefault="00BD1BEA" w:rsidP="00BD1BEA">
      <w:pPr>
        <w:numPr>
          <w:ilvl w:val="1"/>
          <w:numId w:val="6"/>
        </w:numPr>
        <w:spacing w:after="0" w:line="240" w:lineRule="auto"/>
        <w:ind w:left="1440" w:hanging="360"/>
        <w:textAlignment w:val="baseline"/>
        <w:rPr>
          <w:rFonts w:ascii="Calibri" w:eastAsia="Times New Roman" w:hAnsi="Calibri" w:cs="Times New Roman"/>
          <w:color w:val="000000"/>
        </w:rPr>
      </w:pPr>
      <w:r w:rsidRPr="00BD1BEA">
        <w:rPr>
          <w:rFonts w:ascii="Calibri" w:eastAsia="Times New Roman" w:hAnsi="Calibri" w:cs="Times New Roman"/>
          <w:color w:val="000000"/>
        </w:rPr>
        <w:t>There is a change in Life of Activity funding;</w:t>
      </w:r>
    </w:p>
    <w:p w:rsidR="00BD1BEA" w:rsidRPr="00BD1BEA" w:rsidRDefault="00BD1BEA" w:rsidP="00BD1BEA">
      <w:pPr>
        <w:numPr>
          <w:ilvl w:val="1"/>
          <w:numId w:val="6"/>
        </w:numPr>
        <w:spacing w:after="0" w:line="240" w:lineRule="auto"/>
        <w:ind w:left="1440" w:hanging="360"/>
        <w:textAlignment w:val="baseline"/>
        <w:rPr>
          <w:rFonts w:ascii="Calibri" w:eastAsia="Times New Roman" w:hAnsi="Calibri" w:cs="Times New Roman"/>
          <w:color w:val="000000"/>
        </w:rPr>
      </w:pPr>
      <w:r w:rsidRPr="00BD1BEA">
        <w:rPr>
          <w:rFonts w:ascii="Calibri" w:eastAsia="Times New Roman" w:hAnsi="Calibri" w:cs="Times New Roman"/>
          <w:color w:val="000000"/>
        </w:rPr>
        <w:t>There is a time extension; and/or</w:t>
      </w:r>
    </w:p>
    <w:p w:rsidR="00BD1BEA" w:rsidRPr="00BD1BEA" w:rsidRDefault="00BD1BEA" w:rsidP="00BD1BEA">
      <w:pPr>
        <w:numPr>
          <w:ilvl w:val="1"/>
          <w:numId w:val="6"/>
        </w:numPr>
        <w:spacing w:line="240" w:lineRule="auto"/>
        <w:ind w:left="1440" w:hanging="360"/>
        <w:textAlignment w:val="baseline"/>
        <w:rPr>
          <w:rFonts w:ascii="Calibri" w:eastAsia="Times New Roman" w:hAnsi="Calibri" w:cs="Times New Roman"/>
          <w:color w:val="000000"/>
        </w:rPr>
      </w:pPr>
      <w:r w:rsidRPr="00BD1BEA">
        <w:rPr>
          <w:rFonts w:ascii="Calibri" w:eastAsia="Times New Roman" w:hAnsi="Calibri" w:cs="Times New Roman"/>
          <w:color w:val="000000"/>
        </w:rPr>
        <w:t>There are new/unforeseen/deferred activities that were not previously examined.</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II. The Environmental Threshold Decision (ETD)</w:t>
      </w:r>
    </w:p>
    <w:p w:rsidR="00BD1BEA" w:rsidRPr="00BD1BEA" w:rsidRDefault="00CE07F1" w:rsidP="00BD1BEA">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The BEO </w:t>
      </w:r>
      <w:r w:rsidR="00BD1BEA" w:rsidRPr="00BD1BEA">
        <w:rPr>
          <w:rFonts w:ascii="Calibri" w:eastAsia="Times New Roman" w:hAnsi="Calibri" w:cs="Times New Roman"/>
          <w:color w:val="000000"/>
        </w:rPr>
        <w:t>review</w:t>
      </w:r>
      <w:r>
        <w:rPr>
          <w:rFonts w:ascii="Calibri" w:eastAsia="Times New Roman" w:hAnsi="Calibri" w:cs="Times New Roman"/>
          <w:color w:val="000000"/>
        </w:rPr>
        <w:t>s</w:t>
      </w:r>
      <w:r w:rsidR="00BD1BEA" w:rsidRPr="00BD1BEA">
        <w:rPr>
          <w:rFonts w:ascii="Calibri" w:eastAsia="Times New Roman" w:hAnsi="Calibri" w:cs="Times New Roman"/>
          <w:color w:val="000000"/>
        </w:rPr>
        <w:t xml:space="preserve"> the recommendations in the Mission’s submitted IEE and based on the information provided, issues one of five possible Environmental Threshold Decisions that determine the level of additional environmental analysis required to ensure that USAID meets its obligations under NEPA.  The BEO may issue an ETD that does not match the recommendation.</w:t>
      </w:r>
    </w:p>
    <w:p w:rsidR="00BD1BEA" w:rsidRPr="00BD1BEA" w:rsidRDefault="00BD1BEA" w:rsidP="00BD1BEA">
      <w:pPr>
        <w:numPr>
          <w:ilvl w:val="0"/>
          <w:numId w:val="7"/>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b/>
          <w:bCs/>
          <w:color w:val="000000"/>
        </w:rPr>
        <w:t>Exemption</w:t>
      </w:r>
      <w:r w:rsidRPr="00BD1BEA">
        <w:rPr>
          <w:rFonts w:ascii="Calibri" w:eastAsia="Times New Roman" w:hAnsi="Calibri" w:cs="Times New Roman"/>
          <w:color w:val="000000"/>
        </w:rPr>
        <w:t xml:space="preserve"> – Only issued with an approved disaster declaration signed by the Agency Administrator (ex: 2010 Haiti earthquake).  An Ambassador’s Emergency Declaration </w:t>
      </w:r>
      <w:r w:rsidRPr="00BD1BEA">
        <w:rPr>
          <w:rFonts w:ascii="Calibri" w:eastAsia="Times New Roman" w:hAnsi="Calibri" w:cs="Times New Roman"/>
          <w:b/>
          <w:bCs/>
          <w:color w:val="000000"/>
          <w:u w:val="single"/>
        </w:rPr>
        <w:t>DOES NOT</w:t>
      </w:r>
      <w:r w:rsidRPr="00BD1BEA">
        <w:rPr>
          <w:rFonts w:ascii="Calibri" w:eastAsia="Times New Roman" w:hAnsi="Calibri" w:cs="Times New Roman"/>
          <w:color w:val="000000"/>
        </w:rPr>
        <w:t xml:space="preserve"> allow for an exemption. </w:t>
      </w:r>
    </w:p>
    <w:p w:rsidR="00BD1BEA" w:rsidRPr="00BD1BEA" w:rsidRDefault="00BD1BEA" w:rsidP="00BD1BEA">
      <w:pPr>
        <w:numPr>
          <w:ilvl w:val="0"/>
          <w:numId w:val="7"/>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b/>
          <w:bCs/>
          <w:color w:val="000000"/>
        </w:rPr>
        <w:t>Deferral</w:t>
      </w:r>
      <w:r w:rsidRPr="00BD1BEA">
        <w:rPr>
          <w:rFonts w:ascii="Calibri" w:eastAsia="Times New Roman" w:hAnsi="Calibri" w:cs="Times New Roman"/>
          <w:color w:val="000000"/>
        </w:rPr>
        <w:t xml:space="preserve"> – Only issued if there is not enough information to accurately evaluate the possible environmental effects of a particular action.  An IEE Amendment is required before activities under a Deferral can commence.</w:t>
      </w:r>
    </w:p>
    <w:p w:rsidR="00BD1BEA" w:rsidRPr="00BD1BEA" w:rsidRDefault="00BD1BEA" w:rsidP="00BD1BEA">
      <w:pPr>
        <w:numPr>
          <w:ilvl w:val="0"/>
          <w:numId w:val="7"/>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b/>
          <w:bCs/>
          <w:color w:val="000000"/>
        </w:rPr>
        <w:t>Categorical Exclusion</w:t>
      </w:r>
      <w:r w:rsidRPr="00BD1BEA">
        <w:rPr>
          <w:rFonts w:ascii="Calibri" w:eastAsia="Times New Roman" w:hAnsi="Calibri" w:cs="Times New Roman"/>
          <w:color w:val="000000"/>
        </w:rPr>
        <w:t xml:space="preserve"> – These are classes of actions that have been determined not to cause significant environmental effects and thus </w:t>
      </w:r>
      <w:r w:rsidRPr="00BD1BEA">
        <w:rPr>
          <w:rFonts w:ascii="Calibri" w:eastAsia="Times New Roman" w:hAnsi="Calibri" w:cs="Times New Roman"/>
          <w:b/>
          <w:bCs/>
          <w:color w:val="000000"/>
        </w:rPr>
        <w:t>normally</w:t>
      </w:r>
      <w:r w:rsidRPr="00BD1BEA">
        <w:rPr>
          <w:rFonts w:ascii="Calibri" w:eastAsia="Times New Roman" w:hAnsi="Calibri" w:cs="Times New Roman"/>
          <w:color w:val="000000"/>
        </w:rPr>
        <w:t xml:space="preserve"> do not require additional environmental analysis beyond the ETD. USAID has 15 categories. See REG 216.2(c</w:t>
      </w:r>
      <w:proofErr w:type="gramStart"/>
      <w:r w:rsidRPr="00BD1BEA">
        <w:rPr>
          <w:rFonts w:ascii="Calibri" w:eastAsia="Times New Roman" w:hAnsi="Calibri" w:cs="Times New Roman"/>
          <w:color w:val="000000"/>
        </w:rPr>
        <w:t>)(</w:t>
      </w:r>
      <w:proofErr w:type="gramEnd"/>
      <w:r w:rsidRPr="00BD1BEA">
        <w:rPr>
          <w:rFonts w:ascii="Calibri" w:eastAsia="Times New Roman" w:hAnsi="Calibri" w:cs="Times New Roman"/>
          <w:color w:val="000000"/>
        </w:rPr>
        <w:t>2).  </w:t>
      </w:r>
    </w:p>
    <w:p w:rsidR="00CE07F1" w:rsidRDefault="00F87EAF" w:rsidP="00CE07F1">
      <w:pPr>
        <w:spacing w:after="0" w:line="240" w:lineRule="auto"/>
        <w:ind w:left="1080"/>
        <w:rPr>
          <w:rFonts w:ascii="Times New Roman" w:eastAsia="Times New Roman" w:hAnsi="Times New Roman" w:cs="Times New Roman"/>
          <w:sz w:val="24"/>
          <w:szCs w:val="24"/>
        </w:rPr>
      </w:pPr>
      <w:hyperlink r:id="rId11" w:history="1">
        <w:r w:rsidR="00BD1BEA" w:rsidRPr="00BD1BEA">
          <w:rPr>
            <w:rFonts w:ascii="Calibri" w:eastAsia="Times New Roman" w:hAnsi="Calibri" w:cs="Times New Roman"/>
            <w:color w:val="0000FF"/>
            <w:u w:val="single"/>
          </w:rPr>
          <w:t>http://www.ecfr.gov/cgi-bin/text-idx?SID=1c14d0d2666eea51b52855f946f54938&amp;mc=true&amp;node=se22.1.216_12&amp;rgn=div8</w:t>
        </w:r>
      </w:hyperlink>
    </w:p>
    <w:p w:rsidR="00CE07F1" w:rsidRPr="00CE07F1" w:rsidRDefault="00BD1BEA" w:rsidP="00CE07F1">
      <w:pPr>
        <w:pStyle w:val="ListParagraph"/>
        <w:numPr>
          <w:ilvl w:val="0"/>
          <w:numId w:val="7"/>
        </w:numPr>
        <w:spacing w:after="0" w:line="240" w:lineRule="auto"/>
        <w:rPr>
          <w:rFonts w:ascii="Times New Roman" w:eastAsia="Times New Roman" w:hAnsi="Times New Roman" w:cs="Times New Roman"/>
          <w:sz w:val="24"/>
          <w:szCs w:val="24"/>
        </w:rPr>
      </w:pPr>
      <w:r w:rsidRPr="00CE07F1">
        <w:rPr>
          <w:rFonts w:ascii="Calibri" w:eastAsia="Times New Roman" w:hAnsi="Calibri" w:cs="Times New Roman"/>
          <w:b/>
          <w:bCs/>
          <w:color w:val="000000"/>
        </w:rPr>
        <w:t xml:space="preserve">Negative Determination (usually with Conditions)  - </w:t>
      </w:r>
      <w:r w:rsidRPr="00CE07F1">
        <w:rPr>
          <w:rFonts w:ascii="Calibri" w:eastAsia="Times New Roman" w:hAnsi="Calibri" w:cs="Times New Roman"/>
          <w:color w:val="000000"/>
        </w:rPr>
        <w:t>Issued for act</w:t>
      </w:r>
      <w:r w:rsidR="00CE07F1" w:rsidRPr="00CE07F1">
        <w:rPr>
          <w:rFonts w:ascii="Calibri" w:eastAsia="Times New Roman" w:hAnsi="Calibri" w:cs="Times New Roman"/>
          <w:color w:val="000000"/>
        </w:rPr>
        <w:t xml:space="preserve">ivities that are not envisioned </w:t>
      </w:r>
      <w:r w:rsidRPr="00CE07F1">
        <w:rPr>
          <w:rFonts w:ascii="Calibri" w:eastAsia="Times New Roman" w:hAnsi="Calibri" w:cs="Times New Roman"/>
          <w:color w:val="000000"/>
        </w:rPr>
        <w:t xml:space="preserve">to have significant environmental effects but are either a) not covered by one of the 15 categories in the Categorical Exclusion link above (unlikely),  b) those effects are deemed to be made not significant through the application of “Conditions” or mitigation activities (common), or c) for sub-grants component of an Activity where the specific actions of the sub-grant is not known at the time of the IEE.  In LAC, the development of an Environmental Mitigation and Monitoring Plan (EMMP) is required for all Negative Determinations with Conditions with exception of DCAs (see </w:t>
      </w:r>
      <w:r w:rsidRPr="00CE07F1">
        <w:rPr>
          <w:rFonts w:ascii="Calibri" w:eastAsia="Times New Roman" w:hAnsi="Calibri" w:cs="Times New Roman"/>
          <w:i/>
          <w:iCs/>
          <w:color w:val="000000"/>
        </w:rPr>
        <w:t xml:space="preserve">EMMP </w:t>
      </w:r>
      <w:r w:rsidRPr="00CE07F1">
        <w:rPr>
          <w:rFonts w:ascii="Calibri" w:eastAsia="Times New Roman" w:hAnsi="Calibri" w:cs="Times New Roman"/>
          <w:color w:val="000000"/>
        </w:rPr>
        <w:t>below in Section III).  </w:t>
      </w:r>
      <w:r w:rsidR="00CE07F1">
        <w:rPr>
          <w:rFonts w:ascii="Calibri" w:eastAsia="Times New Roman" w:hAnsi="Calibri" w:cs="Times New Roman"/>
          <w:color w:val="000000"/>
        </w:rPr>
        <w:t>In most countries this is done through the use of word documents, but some countries have developed automated systems.  EMMPs may be completed in local official language rather than English.</w:t>
      </w:r>
    </w:p>
    <w:p w:rsidR="00BD1BEA" w:rsidRPr="00CE07F1" w:rsidRDefault="00BD1BEA" w:rsidP="00CE07F1">
      <w:pPr>
        <w:pStyle w:val="ListParagraph"/>
        <w:numPr>
          <w:ilvl w:val="0"/>
          <w:numId w:val="7"/>
        </w:numPr>
        <w:spacing w:after="0" w:line="240" w:lineRule="auto"/>
        <w:rPr>
          <w:rFonts w:ascii="Times New Roman" w:eastAsia="Times New Roman" w:hAnsi="Times New Roman" w:cs="Times New Roman"/>
          <w:sz w:val="24"/>
          <w:szCs w:val="24"/>
        </w:rPr>
      </w:pPr>
      <w:r w:rsidRPr="00CE07F1">
        <w:rPr>
          <w:rFonts w:ascii="Calibri" w:eastAsia="Times New Roman" w:hAnsi="Calibri" w:cs="Times New Roman"/>
          <w:b/>
          <w:bCs/>
          <w:color w:val="000000"/>
        </w:rPr>
        <w:t>Positive Determination</w:t>
      </w:r>
      <w:r w:rsidRPr="00CE07F1">
        <w:rPr>
          <w:rFonts w:ascii="Calibri" w:eastAsia="Times New Roman" w:hAnsi="Calibri" w:cs="Times New Roman"/>
          <w:color w:val="000000"/>
        </w:rPr>
        <w:t xml:space="preserve"> - Issued for all activities where significant environmental effects are likely.  See REG 216.2(d).  Significance is commonly determined by the size, scale, and scope of </w:t>
      </w:r>
      <w:r w:rsidRPr="00CE07F1">
        <w:rPr>
          <w:rFonts w:ascii="Calibri" w:eastAsia="Times New Roman" w:hAnsi="Calibri" w:cs="Times New Roman"/>
          <w:color w:val="000000"/>
        </w:rPr>
        <w:lastRenderedPageBreak/>
        <w:t xml:space="preserve">the activity(s) and whether or not there is an “irreversible or irretrievable commitment of resources”. All activities under a Positive Determination require the development of an Environmental Assessment (EA) (see </w:t>
      </w:r>
      <w:r w:rsidRPr="00CE07F1">
        <w:rPr>
          <w:rFonts w:ascii="Calibri" w:eastAsia="Times New Roman" w:hAnsi="Calibri" w:cs="Times New Roman"/>
          <w:i/>
          <w:iCs/>
          <w:color w:val="000000"/>
        </w:rPr>
        <w:t xml:space="preserve">EA </w:t>
      </w:r>
      <w:r w:rsidRPr="00CE07F1">
        <w:rPr>
          <w:rFonts w:ascii="Calibri" w:eastAsia="Times New Roman" w:hAnsi="Calibri" w:cs="Times New Roman"/>
          <w:color w:val="000000"/>
        </w:rPr>
        <w:t>below in Section III).</w:t>
      </w:r>
    </w:p>
    <w:p w:rsidR="00CE07F1" w:rsidRPr="00CE07F1" w:rsidRDefault="00CE07F1" w:rsidP="00CE07F1">
      <w:pPr>
        <w:pStyle w:val="ListParagraph"/>
        <w:spacing w:after="0" w:line="240" w:lineRule="auto"/>
        <w:rPr>
          <w:rFonts w:ascii="Times New Roman" w:eastAsia="Times New Roman" w:hAnsi="Times New Roman" w:cs="Times New Roman"/>
          <w:sz w:val="24"/>
          <w:szCs w:val="24"/>
        </w:rPr>
      </w:pP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III. Environmental Compliance Documents – Who prepares them, when are they prepared</w:t>
      </w:r>
      <w:r w:rsidR="00CE07F1">
        <w:rPr>
          <w:rFonts w:ascii="Calibri" w:eastAsia="Times New Roman" w:hAnsi="Calibri" w:cs="Times New Roman"/>
          <w:color w:val="000000"/>
          <w:u w:val="single"/>
        </w:rPr>
        <w:t>,</w:t>
      </w:r>
      <w:r w:rsidRPr="00BD1BEA">
        <w:rPr>
          <w:rFonts w:ascii="Calibri" w:eastAsia="Times New Roman" w:hAnsi="Calibri" w:cs="Times New Roman"/>
          <w:color w:val="000000"/>
          <w:u w:val="single"/>
        </w:rPr>
        <w:t xml:space="preserve"> and how are they approved </w:t>
      </w:r>
    </w:p>
    <w:p w:rsidR="00BD1BEA" w:rsidRPr="00BD1BEA" w:rsidRDefault="00BD1BEA" w:rsidP="00BD1BEA">
      <w:pPr>
        <w:numPr>
          <w:ilvl w:val="0"/>
          <w:numId w:val="10"/>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The Environmental Mitigation and Monitoring Plan</w:t>
      </w:r>
      <w:r w:rsidRPr="00BD1BEA">
        <w:rPr>
          <w:rFonts w:ascii="Calibri" w:eastAsia="Times New Roman" w:hAnsi="Calibri" w:cs="Arial"/>
          <w:color w:val="000000"/>
        </w:rPr>
        <w:t xml:space="preserve"> (</w:t>
      </w:r>
      <w:r w:rsidRPr="00BD1BEA">
        <w:rPr>
          <w:rFonts w:ascii="Calibri" w:eastAsia="Times New Roman" w:hAnsi="Calibri" w:cs="Arial"/>
          <w:i/>
          <w:iCs/>
          <w:color w:val="000000"/>
        </w:rPr>
        <w:t>EMMP</w:t>
      </w:r>
      <w:r w:rsidRPr="00BD1BEA">
        <w:rPr>
          <w:rFonts w:ascii="Calibri" w:eastAsia="Times New Roman" w:hAnsi="Calibri" w:cs="Arial"/>
          <w:color w:val="000000"/>
        </w:rPr>
        <w:t>) (</w:t>
      </w:r>
      <w:r w:rsidRPr="00BD1BEA">
        <w:rPr>
          <w:rFonts w:ascii="Calibri" w:eastAsia="Times New Roman" w:hAnsi="Calibri" w:cs="Arial"/>
          <w:color w:val="FF0000"/>
        </w:rPr>
        <w:t>See EMMP format</w:t>
      </w:r>
      <w:r w:rsidRPr="00BD1BEA">
        <w:rPr>
          <w:rFonts w:ascii="Calibri" w:eastAsia="Times New Roman" w:hAnsi="Calibri" w:cs="Arial"/>
          <w:color w:val="000000"/>
        </w:rPr>
        <w:t>)</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development and approval of an EMMP is a requirement for all activities covered under a Negative Determination with Conditions. Its purpose is to identify areas of environmental risk, design mitigation measures to eliminate or minimize those risks, and develop a monitoring plan to determine the effectiveness of the mitigation measures.  The EMMP is normally developed by the implementing partner, submitted to the AOR/COR for review, and then passed to the MEO and REA for approval.  Final approval authority rests with the REA unless otherwise specified in the ETD.  </w:t>
      </w:r>
      <w:r w:rsidRPr="00CE07F1">
        <w:rPr>
          <w:rFonts w:ascii="Calibri" w:eastAsia="Times New Roman" w:hAnsi="Calibri" w:cs="Times New Roman"/>
        </w:rPr>
        <w:t>For sub-grants, the EMMP serves as the environmenta</w:t>
      </w:r>
      <w:r w:rsidR="00CE07F1" w:rsidRPr="00CE07F1">
        <w:rPr>
          <w:rFonts w:ascii="Calibri" w:eastAsia="Times New Roman" w:hAnsi="Calibri" w:cs="Times New Roman"/>
        </w:rPr>
        <w:t xml:space="preserve">l review that is required by </w:t>
      </w:r>
      <w:proofErr w:type="spellStart"/>
      <w:r w:rsidR="00CE07F1" w:rsidRPr="00CE07F1">
        <w:rPr>
          <w:rFonts w:ascii="Calibri" w:eastAsia="Times New Roman" w:hAnsi="Calibri" w:cs="Times New Roman"/>
        </w:rPr>
        <w:t>Reg</w:t>
      </w:r>
      <w:proofErr w:type="spellEnd"/>
      <w:r w:rsidRPr="00CE07F1">
        <w:rPr>
          <w:rFonts w:ascii="Calibri" w:eastAsia="Times New Roman" w:hAnsi="Calibri" w:cs="Times New Roman"/>
        </w:rPr>
        <w:t xml:space="preserve"> 216 for all actions that are implemented with USAID funds. The EMMP shall be developed by the sub-grantees with assistance from the prime contractor (see section V below).  </w:t>
      </w:r>
      <w:r w:rsidRPr="00BD1BEA">
        <w:rPr>
          <w:rFonts w:ascii="Calibri" w:eastAsia="Times New Roman" w:hAnsi="Calibri" w:cs="Times New Roman"/>
          <w:color w:val="000000"/>
        </w:rPr>
        <w:t>USAID Sector Guidelines should be reviewed as part of the EMMP development (</w:t>
      </w:r>
      <w:hyperlink r:id="rId12" w:history="1">
        <w:r w:rsidRPr="00BD1BEA">
          <w:rPr>
            <w:rFonts w:ascii="Calibri" w:eastAsia="Times New Roman" w:hAnsi="Calibri" w:cs="Times New Roman"/>
            <w:color w:val="0000FF"/>
            <w:u w:val="single"/>
          </w:rPr>
          <w:t>http://www.usaidgems.org/sectorguidelines.htm</w:t>
        </w:r>
      </w:hyperlink>
      <w:r w:rsidRPr="00BD1BEA">
        <w:rPr>
          <w:rFonts w:ascii="Calibri" w:eastAsia="Times New Roman" w:hAnsi="Calibri" w:cs="Times New Roman"/>
          <w:color w:val="000000"/>
        </w:rPr>
        <w:t>).</w:t>
      </w: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following is the common procedure for the development and implementation of an EMMP:</w:t>
      </w:r>
    </w:p>
    <w:p w:rsidR="00BD1BEA" w:rsidRPr="00BD1BEA" w:rsidRDefault="00BD1BEA" w:rsidP="00BD1BEA">
      <w:pPr>
        <w:numPr>
          <w:ilvl w:val="0"/>
          <w:numId w:val="11"/>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Language that highlights the requirement to develop an EMMP is included in solicitation packages for projects authorized under a Negative Determination with Conditions (see section IV below).  (</w:t>
      </w:r>
      <w:r w:rsidRPr="00BD1BEA">
        <w:rPr>
          <w:rFonts w:ascii="Calibri" w:eastAsia="Times New Roman" w:hAnsi="Calibri" w:cs="Times New Roman"/>
          <w:color w:val="FF0000"/>
        </w:rPr>
        <w:t>See ADS 204 appendix</w:t>
      </w:r>
      <w:r w:rsidRPr="00BD1BEA">
        <w:rPr>
          <w:rFonts w:ascii="Calibri" w:eastAsia="Times New Roman" w:hAnsi="Calibri" w:cs="Times New Roman"/>
          <w:color w:val="000000"/>
        </w:rPr>
        <w:t>).</w:t>
      </w:r>
    </w:p>
    <w:p w:rsidR="00BD1BEA" w:rsidRPr="00BD1BEA" w:rsidRDefault="00BD1BEA" w:rsidP="00BD1BEA">
      <w:pPr>
        <w:numPr>
          <w:ilvl w:val="0"/>
          <w:numId w:val="11"/>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A draft EMMP that reflects proposed mitigation measures (including estimated cost) is submitted with the proposals and may be used as a selection criterion.</w:t>
      </w:r>
    </w:p>
    <w:p w:rsidR="00BD1BEA" w:rsidRPr="00BD1BEA" w:rsidRDefault="00BD1BEA" w:rsidP="00BD1BEA">
      <w:pPr>
        <w:numPr>
          <w:ilvl w:val="0"/>
          <w:numId w:val="11"/>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Upon award, a final initial EMMP is submitted and approved.</w:t>
      </w:r>
    </w:p>
    <w:p w:rsidR="00BD1BEA" w:rsidRPr="00BD1BEA" w:rsidRDefault="00BD1BEA" w:rsidP="00BD1BEA">
      <w:pPr>
        <w:numPr>
          <w:ilvl w:val="0"/>
          <w:numId w:val="11"/>
        </w:numPr>
        <w:spacing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An annual review of the EMMP is required as part of the implementing mechanism’s Environmental Compliance Report.  Results from monitoring should be incorporated and a year two EMMP is submitted for approval. This process continues for the life of the project. </w:t>
      </w:r>
    </w:p>
    <w:p w:rsidR="00BD1BEA" w:rsidRPr="00BD1BEA" w:rsidRDefault="00BD1BEA" w:rsidP="00BD1BEA">
      <w:pPr>
        <w:spacing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There are two types of EMMPs</w:t>
      </w:r>
    </w:p>
    <w:p w:rsidR="00BD1BEA" w:rsidRPr="00BD1BEA" w:rsidRDefault="00BD1BEA" w:rsidP="00BD1BEA">
      <w:pPr>
        <w:numPr>
          <w:ilvl w:val="0"/>
          <w:numId w:val="12"/>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Site-</w:t>
      </w:r>
      <w:proofErr w:type="gramStart"/>
      <w:r w:rsidRPr="00BD1BEA">
        <w:rPr>
          <w:rFonts w:ascii="Calibri" w:eastAsia="Times New Roman" w:hAnsi="Calibri" w:cs="Times New Roman"/>
          <w:color w:val="000000"/>
        </w:rPr>
        <w:t>specific  -</w:t>
      </w:r>
      <w:proofErr w:type="gramEnd"/>
      <w:r w:rsidRPr="00BD1BEA">
        <w:rPr>
          <w:rFonts w:ascii="Calibri" w:eastAsia="Times New Roman" w:hAnsi="Calibri" w:cs="Times New Roman"/>
          <w:color w:val="000000"/>
        </w:rPr>
        <w:t xml:space="preserve"> which analyzes a particular action or group of actions in a specific location.  For example, construction of one health clinic with </w:t>
      </w:r>
      <w:proofErr w:type="gramStart"/>
      <w:r w:rsidRPr="00BD1BEA">
        <w:rPr>
          <w:rFonts w:ascii="Calibri" w:eastAsia="Times New Roman" w:hAnsi="Calibri" w:cs="Times New Roman"/>
          <w:color w:val="000000"/>
        </w:rPr>
        <w:t>a potable</w:t>
      </w:r>
      <w:proofErr w:type="gramEnd"/>
      <w:r w:rsidRPr="00BD1BEA">
        <w:rPr>
          <w:rFonts w:ascii="Calibri" w:eastAsia="Times New Roman" w:hAnsi="Calibri" w:cs="Times New Roman"/>
          <w:color w:val="000000"/>
        </w:rPr>
        <w:t xml:space="preserve"> water supply at a particular location.</w:t>
      </w:r>
    </w:p>
    <w:p w:rsidR="00BD1BEA" w:rsidRPr="00BD1BEA" w:rsidRDefault="00BD1BEA" w:rsidP="00BD1BEA">
      <w:pPr>
        <w:numPr>
          <w:ilvl w:val="0"/>
          <w:numId w:val="12"/>
        </w:numPr>
        <w:spacing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Programmatic – </w:t>
      </w:r>
      <w:proofErr w:type="gramStart"/>
      <w:r w:rsidRPr="00BD1BEA">
        <w:rPr>
          <w:rFonts w:ascii="Calibri" w:eastAsia="Times New Roman" w:hAnsi="Calibri" w:cs="Times New Roman"/>
          <w:color w:val="000000"/>
        </w:rPr>
        <w:t>which analyzes a set of similar actions to be implemented in multiple locations using the same approach.</w:t>
      </w:r>
      <w:proofErr w:type="gramEnd"/>
      <w:r w:rsidRPr="00BD1BEA">
        <w:rPr>
          <w:rFonts w:ascii="Calibri" w:eastAsia="Times New Roman" w:hAnsi="Calibri" w:cs="Times New Roman"/>
          <w:color w:val="000000"/>
        </w:rPr>
        <w:t xml:space="preserve">   For example, constructing 100 latrines using the same design in different locations.  One plan for all 100 latrines.</w:t>
      </w:r>
    </w:p>
    <w:p w:rsidR="00BD1BEA" w:rsidRPr="00BD1BEA" w:rsidRDefault="00BD1BEA" w:rsidP="00BD1BEA">
      <w:pPr>
        <w:spacing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Tips for good EMMPs</w:t>
      </w:r>
    </w:p>
    <w:p w:rsidR="00BD1BEA" w:rsidRPr="00BD1BEA" w:rsidRDefault="00BD1BEA" w:rsidP="00BD1BEA">
      <w:pPr>
        <w:numPr>
          <w:ilvl w:val="0"/>
          <w:numId w:val="13"/>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Provide a clear and precise description of the proposed action(s).</w:t>
      </w:r>
    </w:p>
    <w:p w:rsidR="00BD1BEA" w:rsidRPr="00BD1BEA" w:rsidRDefault="00BD1BEA" w:rsidP="00BD1BEA">
      <w:pPr>
        <w:numPr>
          <w:ilvl w:val="0"/>
          <w:numId w:val="13"/>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Avoid words like “when appropriate”, “as needed”, or “when necessary” when describing mitigation measures.  Be prescriptive as possible to reduce ambiguity.</w:t>
      </w:r>
    </w:p>
    <w:p w:rsidR="00BD1BEA" w:rsidRDefault="00BD1BEA" w:rsidP="00BD1BEA">
      <w:pPr>
        <w:numPr>
          <w:ilvl w:val="0"/>
          <w:numId w:val="13"/>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Make sure that cost estimates are realistic.  Not having enough money is no excuse for not implementing an approved/required mitigation measure.</w:t>
      </w:r>
    </w:p>
    <w:p w:rsidR="00CE07F1" w:rsidRDefault="00CE07F1" w:rsidP="00CE07F1">
      <w:pPr>
        <w:spacing w:after="0" w:line="240" w:lineRule="auto"/>
        <w:ind w:left="720"/>
        <w:textAlignment w:val="baseline"/>
        <w:rPr>
          <w:rFonts w:ascii="Calibri" w:eastAsia="Times New Roman" w:hAnsi="Calibri" w:cs="Times New Roman"/>
          <w:color w:val="000000"/>
        </w:rPr>
      </w:pPr>
    </w:p>
    <w:p w:rsidR="00CE07F1" w:rsidRPr="00BD1BEA" w:rsidRDefault="00CE07F1" w:rsidP="00CE07F1">
      <w:pPr>
        <w:spacing w:after="0" w:line="240" w:lineRule="auto"/>
        <w:ind w:left="720"/>
        <w:textAlignment w:val="baseline"/>
        <w:rPr>
          <w:rFonts w:ascii="Calibri" w:eastAsia="Times New Roman" w:hAnsi="Calibri" w:cs="Times New Roman"/>
          <w:color w:val="000000"/>
        </w:rPr>
      </w:pP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numPr>
          <w:ilvl w:val="0"/>
          <w:numId w:val="14"/>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lastRenderedPageBreak/>
        <w:t>The Environmental Assessment (EA)</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Environmental Assessment is used to evaluate the potential environmental effects of actions that have received a Positive Determination in a corresponding ETD.  Remember that a Positive Determination is issued for projects that are likely to have significant environmental effects. See REG 216.2(d) for more direction on activities that generally have a significant effect on the environment.  The purpose of the EA is three-fold:</w:t>
      </w:r>
    </w:p>
    <w:p w:rsidR="00BD1BEA" w:rsidRPr="00BD1BEA" w:rsidRDefault="00BD1BEA" w:rsidP="00BD1BEA">
      <w:pPr>
        <w:numPr>
          <w:ilvl w:val="0"/>
          <w:numId w:val="1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Involve relevant stakeholders in the planning process, aka “Scoping”.</w:t>
      </w:r>
    </w:p>
    <w:p w:rsidR="00BD1BEA" w:rsidRPr="00BD1BEA" w:rsidRDefault="00BD1BEA" w:rsidP="00BD1BEA">
      <w:pPr>
        <w:numPr>
          <w:ilvl w:val="0"/>
          <w:numId w:val="15"/>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Analyze and disclose the potential environmental effects and cost/benefit for a range of alternatives.</w:t>
      </w:r>
    </w:p>
    <w:p w:rsidR="00BD1BEA" w:rsidRPr="00BD1BEA" w:rsidRDefault="00BD1BEA" w:rsidP="00BD1BEA">
      <w:pPr>
        <w:numPr>
          <w:ilvl w:val="0"/>
          <w:numId w:val="15"/>
        </w:numPr>
        <w:spacing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Provide the decision maker with a recommended alternative based on this analysis. </w:t>
      </w:r>
    </w:p>
    <w:p w:rsidR="00BD1BEA" w:rsidRPr="00BD1BEA" w:rsidRDefault="00BD1BEA" w:rsidP="00BD1BEA">
      <w:pPr>
        <w:spacing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development of an EA would be conducted as follows:</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A Positive Determination for a particular proposed action is received.</w:t>
      </w:r>
    </w:p>
    <w:p w:rsidR="00BD1BEA" w:rsidRPr="00CE07F1" w:rsidRDefault="00BD1BEA" w:rsidP="00BD1BEA">
      <w:pPr>
        <w:numPr>
          <w:ilvl w:val="0"/>
          <w:numId w:val="16"/>
        </w:numPr>
        <w:spacing w:after="0" w:line="240" w:lineRule="auto"/>
        <w:textAlignment w:val="baseline"/>
        <w:rPr>
          <w:rFonts w:ascii="Calibri" w:eastAsia="Times New Roman" w:hAnsi="Calibri" w:cs="Times New Roman"/>
        </w:rPr>
      </w:pPr>
      <w:r w:rsidRPr="00CE07F1">
        <w:rPr>
          <w:rFonts w:ascii="Calibri" w:eastAsia="Times New Roman" w:hAnsi="Calibri" w:cs="Times New Roman"/>
        </w:rPr>
        <w:t>USAID, through a professional environmental consultancy, or Implementing Partner</w:t>
      </w:r>
      <w:r w:rsidR="00CE07F1" w:rsidRPr="00CE07F1">
        <w:rPr>
          <w:rFonts w:ascii="Calibri" w:eastAsia="Times New Roman" w:hAnsi="Calibri" w:cs="Times New Roman"/>
        </w:rPr>
        <w:t xml:space="preserve">, </w:t>
      </w:r>
      <w:r w:rsidRPr="00CE07F1">
        <w:rPr>
          <w:rFonts w:ascii="Calibri" w:eastAsia="Times New Roman" w:hAnsi="Calibri" w:cs="Times New Roman"/>
        </w:rPr>
        <w:t>prepares the first three sections of the EA (Existing Condition, Purpose and Need, and Proposed Action). Note: the ideal s</w:t>
      </w:r>
      <w:r w:rsidR="00CE07F1" w:rsidRPr="00CE07F1">
        <w:rPr>
          <w:rFonts w:ascii="Calibri" w:eastAsia="Times New Roman" w:hAnsi="Calibri" w:cs="Times New Roman"/>
        </w:rPr>
        <w:t xml:space="preserve">ituation to best comply with </w:t>
      </w:r>
      <w:proofErr w:type="spellStart"/>
      <w:r w:rsidR="00CE07F1" w:rsidRPr="00CE07F1">
        <w:rPr>
          <w:rFonts w:ascii="Calibri" w:eastAsia="Times New Roman" w:hAnsi="Calibri" w:cs="Times New Roman"/>
        </w:rPr>
        <w:t>Reg</w:t>
      </w:r>
      <w:proofErr w:type="spellEnd"/>
      <w:r w:rsidRPr="00CE07F1">
        <w:rPr>
          <w:rFonts w:ascii="Calibri" w:eastAsia="Times New Roman" w:hAnsi="Calibri" w:cs="Times New Roman"/>
        </w:rPr>
        <w:t xml:space="preserve"> 216 direction that an environmental analysis is conducted prior to obligation of funds to avoid irreversible commitment of resources is that the EA be prepared prior to solicitation by USAID. </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The scoping process is conducted with relevant staked holders to identify issues, concerns, and opportunities regarding the proposed action.</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 xml:space="preserve">A Scoping Statement that details the Purpose and Need, Existing Condition, Description of the Proposed Action, Results of Scoping </w:t>
      </w:r>
      <w:r w:rsidRPr="001B029C">
        <w:rPr>
          <w:rFonts w:ascii="Calibri" w:eastAsia="Times New Roman" w:hAnsi="Calibri" w:cs="Times New Roman"/>
        </w:rPr>
        <w:t>(i.e. issue statements in response to the Proposed Actions), Issues considered but dismissed,</w:t>
      </w:r>
      <w:r w:rsidR="001B029C" w:rsidRPr="001B029C">
        <w:rPr>
          <w:rFonts w:ascii="Calibri" w:eastAsia="Times New Roman" w:hAnsi="Calibri" w:cs="Times New Roman"/>
        </w:rPr>
        <w:t xml:space="preserve"> </w:t>
      </w:r>
      <w:r w:rsidRPr="001B029C">
        <w:rPr>
          <w:rFonts w:ascii="Calibri" w:eastAsia="Times New Roman" w:hAnsi="Calibri" w:cs="Times New Roman"/>
        </w:rPr>
        <w:t>a</w:t>
      </w:r>
      <w:r w:rsidRPr="00BD1BEA">
        <w:rPr>
          <w:rFonts w:ascii="Calibri" w:eastAsia="Times New Roman" w:hAnsi="Calibri" w:cs="Times New Roman"/>
          <w:color w:val="000000"/>
        </w:rPr>
        <w:t>nd a proposed work plan for finalizing the EA is submitted by the operating unit and approved by the BEO.</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A range of potential alternatives is developed that identify different actions that address issues raised in scoping.</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The final EA, (which includes the Existing Condition, Purpose and Need, Description of the Proposed Action and Alternative actions, Results o</w:t>
      </w:r>
      <w:r w:rsidR="001B029C">
        <w:rPr>
          <w:rFonts w:ascii="Calibri" w:eastAsia="Times New Roman" w:hAnsi="Calibri" w:cs="Times New Roman"/>
          <w:color w:val="000000"/>
        </w:rPr>
        <w:t>f Scoping, Environmental Effects A</w:t>
      </w:r>
      <w:r w:rsidRPr="00BD1BEA">
        <w:rPr>
          <w:rFonts w:ascii="Calibri" w:eastAsia="Times New Roman" w:hAnsi="Calibri" w:cs="Times New Roman"/>
          <w:color w:val="000000"/>
        </w:rPr>
        <w:t xml:space="preserve">nalysis of Alternatives, and a recommendation for a Preferred Alternative that includes an Environmental Mitigation and Monitoring Plan), </w:t>
      </w:r>
      <w:r w:rsidRPr="001B029C">
        <w:rPr>
          <w:rFonts w:ascii="Calibri" w:eastAsia="Times New Roman" w:hAnsi="Calibri" w:cs="Times New Roman"/>
        </w:rPr>
        <w:t xml:space="preserve">is submitted to the MEO and REA for clearance, </w:t>
      </w:r>
      <w:r w:rsidRPr="00BD1BEA">
        <w:rPr>
          <w:rFonts w:ascii="Calibri" w:eastAsia="Times New Roman" w:hAnsi="Calibri" w:cs="Times New Roman"/>
          <w:color w:val="000000"/>
        </w:rPr>
        <w:t>and then to the Mission Director for approval.</w:t>
      </w:r>
    </w:p>
    <w:p w:rsidR="00BD1BEA" w:rsidRPr="00BD1BEA" w:rsidRDefault="00BD1BEA" w:rsidP="00BD1BEA">
      <w:pPr>
        <w:numPr>
          <w:ilvl w:val="0"/>
          <w:numId w:val="16"/>
        </w:numPr>
        <w:spacing w:after="0" w:line="240" w:lineRule="auto"/>
        <w:textAlignment w:val="baseline"/>
        <w:rPr>
          <w:rFonts w:ascii="Calibri" w:eastAsia="Times New Roman" w:hAnsi="Calibri" w:cs="Times New Roman"/>
          <w:color w:val="000000"/>
        </w:rPr>
      </w:pPr>
      <w:r w:rsidRPr="00BD1BEA">
        <w:rPr>
          <w:rFonts w:ascii="Calibri" w:eastAsia="Times New Roman" w:hAnsi="Calibri" w:cs="Times New Roman"/>
          <w:color w:val="000000"/>
        </w:rPr>
        <w:t>The operating unit submits the EA to the BEO for approval.</w:t>
      </w:r>
    </w:p>
    <w:p w:rsidR="00BD1BEA" w:rsidRPr="001B029C" w:rsidRDefault="00BD1BEA" w:rsidP="00BD1BEA">
      <w:pPr>
        <w:numPr>
          <w:ilvl w:val="0"/>
          <w:numId w:val="16"/>
        </w:numPr>
        <w:spacing w:after="0" w:line="240" w:lineRule="auto"/>
        <w:textAlignment w:val="baseline"/>
        <w:rPr>
          <w:rFonts w:ascii="Calibri" w:eastAsia="Times New Roman" w:hAnsi="Calibri" w:cs="Times New Roman"/>
        </w:rPr>
      </w:pPr>
      <w:r w:rsidRPr="001B029C">
        <w:rPr>
          <w:rFonts w:ascii="Calibri" w:eastAsia="Times New Roman" w:hAnsi="Calibri" w:cs="Times New Roman"/>
        </w:rPr>
        <w:t xml:space="preserve">Depending on when the EA was completed in the Project cycle, The Preferred Alternative including the associated EMMP is used to: 1. if EA was prepared pre-solicitation-develop the Terms of Reference for the solicitation package to complete the work or 2. </w:t>
      </w:r>
      <w:proofErr w:type="gramStart"/>
      <w:r w:rsidRPr="001B029C">
        <w:rPr>
          <w:rFonts w:ascii="Calibri" w:eastAsia="Times New Roman" w:hAnsi="Calibri" w:cs="Times New Roman"/>
        </w:rPr>
        <w:t>if</w:t>
      </w:r>
      <w:proofErr w:type="gramEnd"/>
      <w:r w:rsidRPr="001B029C">
        <w:rPr>
          <w:rFonts w:ascii="Calibri" w:eastAsia="Times New Roman" w:hAnsi="Calibri" w:cs="Times New Roman"/>
        </w:rPr>
        <w:t xml:space="preserve"> EA is prepared after award- incorporate into the annual work plans of the Implementing Partner to ensure implementation occurs.</w:t>
      </w:r>
    </w:p>
    <w:p w:rsidR="00BD1BEA" w:rsidRPr="00BD1BEA" w:rsidRDefault="00BD1BEA" w:rsidP="00BD1BEA">
      <w:pPr>
        <w:spacing w:after="240" w:line="240" w:lineRule="auto"/>
        <w:rPr>
          <w:rFonts w:ascii="Times New Roman" w:eastAsia="Times New Roman" w:hAnsi="Times New Roman" w:cs="Times New Roman"/>
          <w:sz w:val="24"/>
          <w:szCs w:val="24"/>
        </w:rPr>
      </w:pPr>
    </w:p>
    <w:p w:rsidR="00BD1BEA" w:rsidRPr="00BD1BEA" w:rsidRDefault="00BD1BEA" w:rsidP="00BD1BEA">
      <w:pPr>
        <w:numPr>
          <w:ilvl w:val="0"/>
          <w:numId w:val="17"/>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 xml:space="preserve">Pesticide Evaluation Report and Safer Use Action Plan (PERSUAP) </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 PRESUAP is a specialized analysis that is developed when USAID propose to purchase, utilize, or train beneficiaries in the utilization of pesticides, including biological agents.  Fertilizers are not pesticides.  </w:t>
      </w:r>
      <w:r w:rsidRPr="001B029C">
        <w:rPr>
          <w:rFonts w:ascii="Calibri" w:eastAsia="Times New Roman" w:hAnsi="Calibri" w:cs="Times New Roman"/>
        </w:rPr>
        <w:t>This includes organic pesticides that are purchased such as neem. Organic recipes that are made locally/artisanal and not purchased or registered by the USEPA do not require a PERSUAP.  </w:t>
      </w:r>
      <w:r w:rsidRPr="00BD1BEA">
        <w:rPr>
          <w:rFonts w:ascii="Calibri" w:eastAsia="Times New Roman" w:hAnsi="Calibri" w:cs="Times New Roman"/>
          <w:color w:val="000000"/>
        </w:rPr>
        <w:t xml:space="preserve">The PERSUAP may be developed by a particular implementing partner for a specific activity, but the trend in LAC has been to develop an independent, country-wide PERSUAP that includes all likely uses of pesticides; including those </w:t>
      </w:r>
      <w:r w:rsidRPr="00BD1BEA">
        <w:rPr>
          <w:rFonts w:ascii="Calibri" w:eastAsia="Times New Roman" w:hAnsi="Calibri" w:cs="Times New Roman"/>
          <w:color w:val="000000"/>
        </w:rPr>
        <w:lastRenderedPageBreak/>
        <w:t>not necessarily associated with agriculture production such as food storage, construction site preparation, vector control etc.  If you are contemplating the use of pesticides in your proposed activities, please consult your MEO.</w:t>
      </w:r>
    </w:p>
    <w:p w:rsidR="00BD1BEA" w:rsidRPr="00BD1BEA" w:rsidRDefault="00BD1BEA" w:rsidP="00BD1BEA">
      <w:pPr>
        <w:spacing w:after="240" w:line="240" w:lineRule="auto"/>
        <w:rPr>
          <w:rFonts w:ascii="Times New Roman" w:eastAsia="Times New Roman" w:hAnsi="Times New Roman" w:cs="Times New Roman"/>
          <w:sz w:val="24"/>
          <w:szCs w:val="24"/>
        </w:rPr>
      </w:pP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IV</w:t>
      </w:r>
      <w:proofErr w:type="gramStart"/>
      <w:r w:rsidRPr="00BD1BEA">
        <w:rPr>
          <w:rFonts w:ascii="Calibri" w:eastAsia="Times New Roman" w:hAnsi="Calibri" w:cs="Times New Roman"/>
          <w:color w:val="000000"/>
          <w:u w:val="single"/>
        </w:rPr>
        <w:t>.  Compliance</w:t>
      </w:r>
      <w:proofErr w:type="gramEnd"/>
      <w:r w:rsidRPr="00BD1BEA">
        <w:rPr>
          <w:rFonts w:ascii="Calibri" w:eastAsia="Times New Roman" w:hAnsi="Calibri" w:cs="Times New Roman"/>
          <w:color w:val="000000"/>
          <w:u w:val="single"/>
        </w:rPr>
        <w:t xml:space="preserve"> for solicitations and procurement documents </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rPr>
        <w:t xml:space="preserve">Environmental compliance language and criteria are included in the Request for Applications or Proposals (RFA or RFP) when there is a potential for environmental impacts. The IEE and EMMP form shall be attached to the solicitation when there is an NDWC ETD, The review panel factors in compliance issues when reviewing proposals and applications for these activities (i.e. the quality of the EMMP mitigation plan should be considered). The COR/AOR ensures that OAA includes appropriate language in the award. </w:t>
      </w:r>
      <w:r w:rsidRPr="00BD1BEA">
        <w:rPr>
          <w:rFonts w:ascii="Calibri" w:eastAsia="Times New Roman" w:hAnsi="Calibri" w:cs="Times New Roman"/>
          <w:color w:val="000000"/>
          <w:sz w:val="23"/>
          <w:szCs w:val="23"/>
        </w:rPr>
        <w:t>Additional help and best practices on how to incorporate environmental conditions and mitigating measures required by 22 CFR 216 determinations into solicitations and awards is available at</w:t>
      </w:r>
      <w:r w:rsidRPr="00BD1BEA">
        <w:rPr>
          <w:rFonts w:ascii="Calibri" w:eastAsia="Times New Roman" w:hAnsi="Calibri" w:cs="Times New Roman"/>
          <w:color w:val="000000"/>
          <w:u w:val="single"/>
        </w:rPr>
        <w:t xml:space="preserve"> (</w:t>
      </w:r>
      <w:proofErr w:type="gramStart"/>
      <w:r w:rsidRPr="00BD1BEA">
        <w:rPr>
          <w:rFonts w:ascii="Calibri" w:eastAsia="Times New Roman" w:hAnsi="Calibri" w:cs="Times New Roman"/>
          <w:color w:val="FF0000"/>
          <w:u w:val="single"/>
        </w:rPr>
        <w:t>See  ADS</w:t>
      </w:r>
      <w:proofErr w:type="gramEnd"/>
      <w:r w:rsidRPr="00BD1BEA">
        <w:rPr>
          <w:rFonts w:ascii="Calibri" w:eastAsia="Times New Roman" w:hAnsi="Calibri" w:cs="Times New Roman"/>
          <w:color w:val="FF0000"/>
          <w:u w:val="single"/>
        </w:rPr>
        <w:t xml:space="preserve"> 204 annex).</w:t>
      </w:r>
    </w:p>
    <w:p w:rsidR="00BD1BEA" w:rsidRPr="00BD1BEA" w:rsidRDefault="00BD1BEA" w:rsidP="00BD1BEA">
      <w:pPr>
        <w:spacing w:line="240" w:lineRule="auto"/>
        <w:rPr>
          <w:rFonts w:ascii="Times New Roman" w:eastAsia="Times New Roman" w:hAnsi="Times New Roman" w:cs="Times New Roman"/>
          <w:sz w:val="24"/>
          <w:szCs w:val="24"/>
        </w:rPr>
      </w:pPr>
      <w:r w:rsidRPr="00BD1BEA">
        <w:rPr>
          <w:rFonts w:ascii="Calibri" w:eastAsia="Times New Roman" w:hAnsi="Calibri" w:cs="Times New Roman"/>
          <w:color w:val="000000"/>
          <w:u w:val="single"/>
        </w:rPr>
        <w:t>V. Frequently Asked Questions</w:t>
      </w:r>
    </w:p>
    <w:p w:rsidR="00BD1BEA" w:rsidRPr="00BD1BEA" w:rsidRDefault="00BD1BEA" w:rsidP="00BD1BEA">
      <w:pPr>
        <w:numPr>
          <w:ilvl w:val="0"/>
          <w:numId w:val="18"/>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Field support mechanisms and buy-ins</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When an Indefinite Quantity Contract (IQC), Participating Agency Partnership Agreement (PAPA) or other global implementing mechanisms are awarded at the headquarters-level, an IEE is produced and an ETD is issued.  The global mechanism is beholding to the terms and conditions of the associated ETD.  As such, when missions “buy –in” to one of these global mechanisms, they buy into all the terms and conditions associated with it.  Therefore, environmental compliance procedures associated with the mission’s ETD and those described in specific Mission Orders do not apply.  The regional bureaus are in discussions with the pillar bureaus to resolve this issue.</w:t>
      </w: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numPr>
          <w:ilvl w:val="0"/>
          <w:numId w:val="19"/>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Multi funded/multi donor projects/Global Development Alliance/Public-Private Partnerships</w:t>
      </w:r>
    </w:p>
    <w:p w:rsidR="00BD1BEA" w:rsidRPr="001B029C"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There are a number of Categorical Exclusions (</w:t>
      </w:r>
      <w:proofErr w:type="gramStart"/>
      <w:r w:rsidRPr="00BD1BEA">
        <w:rPr>
          <w:rFonts w:ascii="Calibri" w:eastAsia="Times New Roman" w:hAnsi="Calibri" w:cs="Times New Roman"/>
          <w:color w:val="000000"/>
        </w:rPr>
        <w:t>iv</w:t>
      </w:r>
      <w:proofErr w:type="gramEnd"/>
      <w:r w:rsidRPr="00BD1BEA">
        <w:rPr>
          <w:rFonts w:ascii="Calibri" w:eastAsia="Times New Roman" w:hAnsi="Calibri" w:cs="Times New Roman"/>
          <w:color w:val="000000"/>
        </w:rPr>
        <w:t>, vi, xiii) that allow USAID to be “excluded” from additional environmental analysis beyond the IEE for multi-donor/multi-funded projects of this nature.  However, each of these categories has specific caveats regarding when these CE’s apply.  In many cases, our involvement with partners in the identification and development of actions is substantial and thus, when the proposed activities have the potential to create environmental effects, they must be given a Negative Determination with Conditions or a Positive Determination.  As such, all the terms and conditions of the associated ETD must apply and be included in the partnership agreement.</w:t>
      </w:r>
      <w:r w:rsidRPr="00BD1BEA">
        <w:rPr>
          <w:rFonts w:ascii="Calibri" w:eastAsia="Times New Roman" w:hAnsi="Calibri" w:cs="Times New Roman"/>
          <w:color w:val="CC0000"/>
        </w:rPr>
        <w:t xml:space="preserve"> </w:t>
      </w:r>
      <w:r w:rsidRPr="001B029C">
        <w:rPr>
          <w:rFonts w:ascii="Calibri" w:eastAsia="Times New Roman" w:hAnsi="Calibri" w:cs="Times New Roman"/>
        </w:rPr>
        <w:t>In the case where the USAID does not control the details of the activities that the PIO will be identifying and implementing (i.e. Program Contribution grants), the PIO is responsible for following their own environmental policies (ADS 308.3.11c).</w:t>
      </w: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numPr>
          <w:ilvl w:val="0"/>
          <w:numId w:val="20"/>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Development Credit Authority (DCA)</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Generally speaking, DCAs fall under Categorical Exclusion (x), “Support for intermediate credit institutions</w:t>
      </w:r>
      <w:r w:rsidR="001B029C">
        <w:rPr>
          <w:rFonts w:ascii="Calibri" w:eastAsia="Times New Roman" w:hAnsi="Calibri" w:cs="Times New Roman"/>
          <w:color w:val="000000"/>
        </w:rPr>
        <w:t>”</w:t>
      </w:r>
      <w:r w:rsidRPr="00BD1BEA">
        <w:rPr>
          <w:rFonts w:ascii="Calibri" w:eastAsia="Times New Roman" w:hAnsi="Calibri" w:cs="Times New Roman"/>
          <w:color w:val="000000"/>
        </w:rPr>
        <w:t xml:space="preserve">.  However, when the intended </w:t>
      </w:r>
      <w:proofErr w:type="gramStart"/>
      <w:r w:rsidRPr="00BD1BEA">
        <w:rPr>
          <w:rFonts w:ascii="Calibri" w:eastAsia="Times New Roman" w:hAnsi="Calibri" w:cs="Times New Roman"/>
          <w:color w:val="000000"/>
        </w:rPr>
        <w:t>activities being</w:t>
      </w:r>
      <w:proofErr w:type="gramEnd"/>
      <w:r w:rsidRPr="00BD1BEA">
        <w:rPr>
          <w:rFonts w:ascii="Calibri" w:eastAsia="Times New Roman" w:hAnsi="Calibri" w:cs="Times New Roman"/>
          <w:color w:val="000000"/>
        </w:rPr>
        <w:t xml:space="preserve"> supported by loans authorized under this program have the potential to cause environmental effects, this CE does not apply.  A Negative Determination with Conditions will be issued with a condition that USAID review the lending institutions policies regarding the environment and provide training to loan officers to familiarize them with possible environmental effects and standard mitigation measures, such as </w:t>
      </w:r>
      <w:r w:rsidRPr="00BD1BEA">
        <w:rPr>
          <w:rFonts w:ascii="Calibri" w:eastAsia="Times New Roman" w:hAnsi="Calibri" w:cs="Times New Roman"/>
          <w:color w:val="000000"/>
        </w:rPr>
        <w:lastRenderedPageBreak/>
        <w:t>those found in the sector guidelines (</w:t>
      </w:r>
      <w:hyperlink r:id="rId13" w:history="1">
        <w:r w:rsidRPr="00BD1BEA">
          <w:rPr>
            <w:rFonts w:ascii="Calibri" w:eastAsia="Times New Roman" w:hAnsi="Calibri" w:cs="Times New Roman"/>
            <w:color w:val="0000FF"/>
            <w:u w:val="single"/>
          </w:rPr>
          <w:t>http://www.usaidgems.org/sectorguidelines.htm</w:t>
        </w:r>
      </w:hyperlink>
      <w:r w:rsidRPr="00BD1BEA">
        <w:rPr>
          <w:rFonts w:ascii="Calibri" w:eastAsia="Times New Roman" w:hAnsi="Calibri" w:cs="Times New Roman"/>
          <w:color w:val="000000"/>
        </w:rPr>
        <w:t xml:space="preserve"> ).  The ETD may also specifically prohibit the lending institution from supporting certain activities that are deemed to have significant environmental effects.</w:t>
      </w:r>
    </w:p>
    <w:p w:rsidR="00BD1BEA" w:rsidRPr="00BD1BEA" w:rsidRDefault="00BD1BEA" w:rsidP="00BD1BEA">
      <w:pPr>
        <w:spacing w:after="0" w:line="240" w:lineRule="auto"/>
        <w:rPr>
          <w:rFonts w:ascii="Times New Roman" w:eastAsia="Times New Roman" w:hAnsi="Times New Roman" w:cs="Times New Roman"/>
          <w:sz w:val="24"/>
          <w:szCs w:val="24"/>
        </w:rPr>
      </w:pPr>
    </w:p>
    <w:p w:rsidR="00BD1BEA" w:rsidRPr="00BD1BEA" w:rsidRDefault="00BD1BEA" w:rsidP="00BD1BEA">
      <w:pPr>
        <w:numPr>
          <w:ilvl w:val="0"/>
          <w:numId w:val="21"/>
        </w:numPr>
        <w:spacing w:after="0" w:line="240" w:lineRule="auto"/>
        <w:textAlignment w:val="baseline"/>
        <w:rPr>
          <w:rFonts w:ascii="Arial" w:eastAsia="Times New Roman" w:hAnsi="Arial" w:cs="Arial"/>
          <w:i/>
          <w:iCs/>
          <w:color w:val="000000"/>
        </w:rPr>
      </w:pPr>
      <w:r w:rsidRPr="00BD1BEA">
        <w:rPr>
          <w:rFonts w:ascii="Calibri" w:eastAsia="Times New Roman" w:hAnsi="Calibri" w:cs="Arial"/>
          <w:i/>
          <w:iCs/>
          <w:color w:val="000000"/>
        </w:rPr>
        <w:t>Sub-awards</w:t>
      </w:r>
    </w:p>
    <w:p w:rsidR="00BD1BEA" w:rsidRPr="00BD1BEA" w:rsidRDefault="00BD1BEA" w:rsidP="00BD1BEA">
      <w:pPr>
        <w:spacing w:after="0" w:line="240" w:lineRule="auto"/>
        <w:ind w:left="720"/>
        <w:rPr>
          <w:rFonts w:ascii="Times New Roman" w:eastAsia="Times New Roman" w:hAnsi="Times New Roman" w:cs="Times New Roman"/>
          <w:sz w:val="24"/>
          <w:szCs w:val="24"/>
        </w:rPr>
      </w:pPr>
      <w:r w:rsidRPr="00BD1BEA">
        <w:rPr>
          <w:rFonts w:ascii="Calibri" w:eastAsia="Times New Roman" w:hAnsi="Calibri" w:cs="Times New Roman"/>
          <w:color w:val="000000"/>
        </w:rPr>
        <w:t>Implementing mechanisms where sub awards are envisioned are normally given a Negative Determination with Conditions that requires potential sub-awardees to complete an Environmental Risk Assessment (Table 1 of the EMMP).  If the assessment indicates the proposed activity has a medium risk, a full EMMP will be required.  This must be done prior to authorizing the sub-award to ensure that sufficient budget has been allocated to implement the agreed-upon mitigation measures.</w:t>
      </w:r>
    </w:p>
    <w:p w:rsidR="00CE07F1" w:rsidRDefault="00CE07F1"/>
    <w:sectPr w:rsidR="00CE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3F6"/>
    <w:multiLevelType w:val="multilevel"/>
    <w:tmpl w:val="1D7A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B5CC6"/>
    <w:multiLevelType w:val="multilevel"/>
    <w:tmpl w:val="CEE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B04"/>
    <w:multiLevelType w:val="multilevel"/>
    <w:tmpl w:val="3FB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4383C"/>
    <w:multiLevelType w:val="multilevel"/>
    <w:tmpl w:val="1E58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36396"/>
    <w:multiLevelType w:val="multilevel"/>
    <w:tmpl w:val="5F0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74FE"/>
    <w:multiLevelType w:val="multilevel"/>
    <w:tmpl w:val="261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35145"/>
    <w:multiLevelType w:val="multilevel"/>
    <w:tmpl w:val="F23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76E3D"/>
    <w:multiLevelType w:val="multilevel"/>
    <w:tmpl w:val="C4105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F5B71"/>
    <w:multiLevelType w:val="multilevel"/>
    <w:tmpl w:val="6956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174AE"/>
    <w:multiLevelType w:val="multilevel"/>
    <w:tmpl w:val="ED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2466C"/>
    <w:multiLevelType w:val="multilevel"/>
    <w:tmpl w:val="9E9C5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C737A0"/>
    <w:multiLevelType w:val="multilevel"/>
    <w:tmpl w:val="8934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54139"/>
    <w:multiLevelType w:val="multilevel"/>
    <w:tmpl w:val="CD9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A3D82"/>
    <w:multiLevelType w:val="multilevel"/>
    <w:tmpl w:val="EA6E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66471F"/>
    <w:multiLevelType w:val="multilevel"/>
    <w:tmpl w:val="76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15250"/>
    <w:multiLevelType w:val="multilevel"/>
    <w:tmpl w:val="02F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80BC1"/>
    <w:multiLevelType w:val="multilevel"/>
    <w:tmpl w:val="18F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857BE"/>
    <w:multiLevelType w:val="multilevel"/>
    <w:tmpl w:val="984E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AB2ED4"/>
    <w:multiLevelType w:val="multilevel"/>
    <w:tmpl w:val="6E7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9591A"/>
    <w:multiLevelType w:val="multilevel"/>
    <w:tmpl w:val="FCEEE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096C89"/>
    <w:multiLevelType w:val="hybridMultilevel"/>
    <w:tmpl w:val="137A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9"/>
  </w:num>
  <w:num w:numId="5">
    <w:abstractNumId w:val="19"/>
  </w:num>
  <w:num w:numId="6">
    <w:abstractNumId w:val="19"/>
    <w:lvlOverride w:ilvl="1">
      <w:lvl w:ilvl="1">
        <w:numFmt w:val="lowerLetter"/>
        <w:lvlText w:val="%2."/>
        <w:lvlJc w:val="left"/>
      </w:lvl>
    </w:lvlOverride>
  </w:num>
  <w:num w:numId="7">
    <w:abstractNumId w:val="8"/>
  </w:num>
  <w:num w:numId="8">
    <w:abstractNumId w:val="1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8"/>
  </w:num>
  <w:num w:numId="11">
    <w:abstractNumId w:val="14"/>
  </w:num>
  <w:num w:numId="12">
    <w:abstractNumId w:val="12"/>
  </w:num>
  <w:num w:numId="13">
    <w:abstractNumId w:val="11"/>
  </w:num>
  <w:num w:numId="14">
    <w:abstractNumId w:val="17"/>
  </w:num>
  <w:num w:numId="15">
    <w:abstractNumId w:val="0"/>
  </w:num>
  <w:num w:numId="16">
    <w:abstractNumId w:val="13"/>
  </w:num>
  <w:num w:numId="17">
    <w:abstractNumId w:val="15"/>
  </w:num>
  <w:num w:numId="18">
    <w:abstractNumId w:val="2"/>
  </w:num>
  <w:num w:numId="19">
    <w:abstractNumId w:val="6"/>
  </w:num>
  <w:num w:numId="20">
    <w:abstractNumId w:val="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EA"/>
    <w:rsid w:val="001B029C"/>
    <w:rsid w:val="00BD1BEA"/>
    <w:rsid w:val="00CE07F1"/>
    <w:rsid w:val="00DB543A"/>
    <w:rsid w:val="00E52E32"/>
    <w:rsid w:val="00F87EAF"/>
    <w:rsid w:val="00F9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environment/compliance/22cfr216" TargetMode="External"/><Relationship Id="rId13" Type="http://schemas.openxmlformats.org/officeDocument/2006/relationships/hyperlink" Target="http://www.usaidgems.org/sectorguidelines.htm" TargetMode="External"/><Relationship Id="rId3" Type="http://schemas.microsoft.com/office/2007/relationships/stylesWithEffects" Target="stylesWithEffects.xml"/><Relationship Id="rId7" Type="http://schemas.openxmlformats.org/officeDocument/2006/relationships/hyperlink" Target="http://www.ecfr.gov/cgi-bin/text-idx?c=ecfr&amp;tpl=/ecfrbrowse/Title22/22cfr216_main_02.tpl" TargetMode="External"/><Relationship Id="rId12" Type="http://schemas.openxmlformats.org/officeDocument/2006/relationships/hyperlink" Target="http://www.usaidgems.org/sectorguidel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q.doe.gov/nepa/Citizens_Guide_Dec07.pdf" TargetMode="External"/><Relationship Id="rId11" Type="http://schemas.openxmlformats.org/officeDocument/2006/relationships/hyperlink" Target="http://www.ecfr.gov/cgi-bin/text-idx?SID=1c14d0d2666eea51b52855f946f54938&amp;mc=true&amp;node=se22.1.216_12&amp;rgn=div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f.usaid.gov/pdf_docs/Pdacs686.pdf" TargetMode="External"/><Relationship Id="rId4" Type="http://schemas.openxmlformats.org/officeDocument/2006/relationships/settings" Target="settings.xml"/><Relationship Id="rId9" Type="http://schemas.openxmlformats.org/officeDocument/2006/relationships/hyperlink" Target="http://www.usaid.gov/sites/default/files/documents/1865/2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F795F9AF</Template>
  <TotalTime>44</TotalTime>
  <Pages>6</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Schmidtke, Paul</dc:creator>
  <cp:lastModifiedBy>Torres, Joe (San Salvador/EG)</cp:lastModifiedBy>
  <cp:revision>3</cp:revision>
  <dcterms:created xsi:type="dcterms:W3CDTF">2016-02-16T19:20:00Z</dcterms:created>
  <dcterms:modified xsi:type="dcterms:W3CDTF">2016-02-16T21:09:00Z</dcterms:modified>
</cp:coreProperties>
</file>